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4EC" w:rsidRDefault="00A729F8">
      <w:pPr>
        <w:pStyle w:val="Nagwek10"/>
        <w:keepNext/>
        <w:keepLines/>
        <w:spacing w:line="223" w:lineRule="auto"/>
        <w:jc w:val="center"/>
      </w:pPr>
      <w:bookmarkStart w:id="0" w:name="bookmark2"/>
      <w:r>
        <w:t>Wytyczne dla kierowców wjeżdżających na teren chroniony ANWIL S.A.</w:t>
      </w:r>
      <w:bookmarkEnd w:id="0"/>
    </w:p>
    <w:p w:rsidR="008144EC" w:rsidRDefault="00A729F8">
      <w:pPr>
        <w:pStyle w:val="Nagwek10"/>
        <w:keepNext/>
        <w:keepLines/>
        <w:numPr>
          <w:ilvl w:val="0"/>
          <w:numId w:val="1"/>
        </w:numPr>
        <w:tabs>
          <w:tab w:val="left" w:pos="173"/>
        </w:tabs>
        <w:spacing w:line="223" w:lineRule="auto"/>
        <w:jc w:val="both"/>
      </w:pPr>
      <w:bookmarkStart w:id="1" w:name="bookmark3"/>
      <w:bookmarkStart w:id="2" w:name="bookmark0"/>
      <w:bookmarkStart w:id="3" w:name="bookmark1"/>
      <w:bookmarkStart w:id="4" w:name="bookmark4"/>
      <w:bookmarkStart w:id="5" w:name="_GoBack"/>
      <w:bookmarkEnd w:id="1"/>
      <w:r>
        <w:t>Zasady do stosowania dla kierowców wjeżdżających na teren chroniony ANWIL S.A.</w:t>
      </w:r>
      <w:bookmarkEnd w:id="2"/>
      <w:bookmarkEnd w:id="3"/>
      <w:bookmarkEnd w:id="4"/>
    </w:p>
    <w:p w:rsidR="008144EC" w:rsidRDefault="00A729F8">
      <w:pPr>
        <w:pStyle w:val="Teksttreci0"/>
        <w:numPr>
          <w:ilvl w:val="0"/>
          <w:numId w:val="2"/>
        </w:numPr>
        <w:tabs>
          <w:tab w:val="left" w:pos="369"/>
        </w:tabs>
        <w:spacing w:after="40" w:line="218" w:lineRule="auto"/>
        <w:ind w:left="380" w:hanging="380"/>
        <w:jc w:val="both"/>
      </w:pPr>
      <w:bookmarkStart w:id="6" w:name="bookmark5"/>
      <w:bookmarkEnd w:id="6"/>
      <w:bookmarkEnd w:id="5"/>
      <w:r>
        <w:t xml:space="preserve">Przed wjazdem na teren chroniony ANWIL S.A. kierowca za potwierdzeniem odbioru otrzymuje od Służby Ochrony </w:t>
      </w:r>
      <w:r>
        <w:t>Informator dla osób czasowo przebywających na terenie ANWILU S.A.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369"/>
        </w:tabs>
        <w:spacing w:after="40" w:line="214" w:lineRule="auto"/>
        <w:ind w:left="380" w:hanging="380"/>
        <w:jc w:val="both"/>
      </w:pPr>
      <w:bookmarkStart w:id="7" w:name="bookmark6"/>
      <w:bookmarkEnd w:id="7"/>
      <w:r>
        <w:t>Dokumentem uprawniającym do wjazdu na teren chroniony ANWIL S.A. jest karta identyfikacyjna z nadanym uprawnieniem wjazdu, wpisanym do bazy danych systemu kontroli dostępu ANWIL S.A.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369"/>
        </w:tabs>
        <w:spacing w:after="40" w:line="226" w:lineRule="auto"/>
        <w:ind w:left="380" w:hanging="380"/>
        <w:jc w:val="both"/>
      </w:pPr>
      <w:bookmarkStart w:id="8" w:name="bookmark7"/>
      <w:bookmarkEnd w:id="8"/>
      <w:r>
        <w:t>Na tere</w:t>
      </w:r>
      <w:r>
        <w:t>nie chronionym ANWIL S.A. stosuje się zasady poruszania się pojazdami określone w aktualnie obowiązującej ustawie „Prawo o ruchu drogowym”. Na terenie chronionym ANWIL S.A. obowiązuje ograniczenie prędkości do 50 km/h, chyba że znaki stanowią inaczej.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369"/>
        </w:tabs>
        <w:spacing w:after="40" w:line="233" w:lineRule="auto"/>
        <w:ind w:left="380" w:hanging="380"/>
        <w:jc w:val="both"/>
      </w:pPr>
      <w:bookmarkStart w:id="9" w:name="bookmark8"/>
      <w:bookmarkEnd w:id="9"/>
      <w:r>
        <w:t>Kier</w:t>
      </w:r>
      <w:r>
        <w:t>ujący muszą posiadać dokument potwierdzający uprawnienia do kierowania pojazdami, dowody rejestracyjne z ważnym badaniem technicznym oraz ubezpieczeniem OC oraz inne o ile są wymagane przez odpowiednie przepisy prawa. Powyższe dokumenty muszą być okazane d</w:t>
      </w:r>
      <w:r>
        <w:t>o kontroli uprawnionym organom wykonującym czynności kontrolne zarówno przed wjazdem jak i w trakcie poruszania się na terenie chronionym ANWIL S.A.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369"/>
        </w:tabs>
        <w:spacing w:after="40"/>
        <w:ind w:left="380" w:hanging="380"/>
        <w:jc w:val="both"/>
      </w:pPr>
      <w:bookmarkStart w:id="10" w:name="bookmark9"/>
      <w:bookmarkEnd w:id="10"/>
      <w:r>
        <w:t>Mechanizmy pojazdów wjeżdżających na teren chroniony ANWIL S.A. muszą być szczelne, bez wycieków olejów ora</w:t>
      </w:r>
      <w:r>
        <w:t>z innych płynów eksploatacyjnych.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369"/>
        </w:tabs>
        <w:ind w:left="380" w:hanging="380"/>
        <w:jc w:val="both"/>
      </w:pPr>
      <w:bookmarkStart w:id="11" w:name="bookmark10"/>
      <w:bookmarkEnd w:id="11"/>
      <w:r>
        <w:rPr>
          <w:sz w:val="20"/>
          <w:szCs w:val="20"/>
        </w:rPr>
        <w:t xml:space="preserve">Kierujący pojazdami przewożącymi towary niebezpieczne muszą stosować się do przepisów w sprawie </w:t>
      </w:r>
      <w:r>
        <w:t>przewozu towarów niebezpiecznych transportem lądowym w szczególności zawartych w Umowie europejskiej dotyczącej międzynarodowe</w:t>
      </w:r>
      <w:r>
        <w:t>go przewozu drogowego towarów niebezpiecznych (ADR). Wyposażenie ochronne dla kierowcy musi być zgodne z instrukcją pisemną z Umowy europejskiej ADR.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369"/>
        </w:tabs>
        <w:spacing w:after="40"/>
        <w:jc w:val="both"/>
      </w:pPr>
      <w:bookmarkStart w:id="12" w:name="bookmark11"/>
      <w:bookmarkEnd w:id="12"/>
      <w:r>
        <w:t>Zobowiązuje się wszystkich kierowców wjeżdżających na teren chroniony ANWIL S.A. do: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6"/>
        </w:tabs>
        <w:spacing w:after="40" w:line="228" w:lineRule="auto"/>
        <w:ind w:left="720" w:hanging="340"/>
        <w:jc w:val="both"/>
      </w:pPr>
      <w:bookmarkStart w:id="13" w:name="bookmark12"/>
      <w:bookmarkEnd w:id="13"/>
      <w:r>
        <w:t xml:space="preserve">zapoznania się, </w:t>
      </w:r>
      <w:r>
        <w:t>stosowania i bezwzględnego przestrzegania wymagań z zakresu bezpieczeństwa pracy, ochrony przeciwpożarowej, bezpieczeństwa procesowego i ochrony środowiska zawartych w przepisach ogólnie obowiązujących oraz w przepisach obowiązujących na terenie ANWIL S.A.</w:t>
      </w:r>
      <w:r>
        <w:t>, zawartych w Informatorze dla osób czasowo przebywających na terenie ANWILU S.A..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6"/>
        </w:tabs>
        <w:spacing w:after="40" w:line="228" w:lineRule="auto"/>
        <w:ind w:firstLine="380"/>
        <w:jc w:val="both"/>
      </w:pPr>
      <w:bookmarkStart w:id="14" w:name="bookmark13"/>
      <w:bookmarkEnd w:id="14"/>
      <w:r>
        <w:t xml:space="preserve">posiadania maski </w:t>
      </w:r>
      <w:proofErr w:type="spellStart"/>
      <w:r>
        <w:t>pełnotwarzowej</w:t>
      </w:r>
      <w:proofErr w:type="spellEnd"/>
      <w:r>
        <w:t xml:space="preserve"> przeciwgazowej z pochłaniaczem ABEK2 w najbliższym zasięgu,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6"/>
        </w:tabs>
        <w:spacing w:after="40" w:line="223" w:lineRule="auto"/>
        <w:ind w:left="720" w:hanging="340"/>
        <w:jc w:val="both"/>
      </w:pPr>
      <w:bookmarkStart w:id="15" w:name="bookmark14"/>
      <w:bookmarkEnd w:id="15"/>
      <w:r>
        <w:t>stosowania na całym terenie chronionym ANWIL S.A., odzieży roboczej, obuwia roboc</w:t>
      </w:r>
      <w:r>
        <w:t>zego z podnoskami chroniącymi palce, hełmów, okularów ochronnych, kamizelek odblaskowych, rękawic oraz pozostałych wymaganych środków ochrony indywidualnej dostosowanych do zagrożeń.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6"/>
        </w:tabs>
        <w:spacing w:after="40" w:line="218" w:lineRule="auto"/>
        <w:ind w:left="720" w:hanging="280"/>
        <w:jc w:val="both"/>
      </w:pPr>
      <w:bookmarkStart w:id="16" w:name="bookmark15"/>
      <w:bookmarkEnd w:id="16"/>
      <w:r>
        <w:t>używania wyłącznie urządzeń, narzędzi, materiałów i sprzętu w pełni spraw</w:t>
      </w:r>
      <w:r>
        <w:t xml:space="preserve">nego z odpowiednimi </w:t>
      </w:r>
      <w:proofErr w:type="spellStart"/>
      <w:r>
        <w:t>dopuszczeniami</w:t>
      </w:r>
      <w:proofErr w:type="spellEnd"/>
      <w:r>
        <w:t xml:space="preserve"> technicznymi, atestami, świadectwami i certyfikatami,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6"/>
        </w:tabs>
        <w:spacing w:after="40" w:line="223" w:lineRule="auto"/>
        <w:ind w:left="720" w:hanging="280"/>
        <w:jc w:val="both"/>
      </w:pPr>
      <w:bookmarkStart w:id="17" w:name="bookmark16"/>
      <w:bookmarkEnd w:id="17"/>
      <w:r>
        <w:t>zabezpieczenia pojazdu klinami, zaciągnięcia hamulca postojowego oraz wyjęcia kluczyków ze stacyjki, przed rozpoczęciem każdego rozładunku/załadunku. Brak stosowania p</w:t>
      </w:r>
      <w:r>
        <w:t>owyższego wymogu będzie skutkował odmową rozładunku/załadunku towaru,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6"/>
        </w:tabs>
        <w:spacing w:after="40" w:line="223" w:lineRule="auto"/>
        <w:ind w:left="720" w:hanging="280"/>
        <w:jc w:val="both"/>
      </w:pPr>
      <w:bookmarkStart w:id="18" w:name="bookmark17"/>
      <w:bookmarkEnd w:id="18"/>
      <w:r>
        <w:t xml:space="preserve">poddania się kontroli prędkości na terenie obiektów chronionych, przeprowadzanych przez funkcjonariuszy Policji lub pracowników Służby Ochrony ANWIL S.A. przy użyciu radarowego miernika </w:t>
      </w:r>
      <w:r>
        <w:t>prędkości,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8"/>
        </w:tabs>
        <w:spacing w:after="40" w:line="214" w:lineRule="auto"/>
        <w:ind w:left="720" w:hanging="280"/>
        <w:jc w:val="both"/>
      </w:pPr>
      <w:bookmarkStart w:id="19" w:name="bookmark18"/>
      <w:bookmarkEnd w:id="19"/>
      <w:r>
        <w:t>poddania się kontroli trzeźwości na terenie chronionym ANWIL S.A., prowadzonej przez Służby Ochrony ANWIL S.A.,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8"/>
        </w:tabs>
        <w:spacing w:after="40" w:line="223" w:lineRule="auto"/>
        <w:ind w:left="720" w:hanging="280"/>
        <w:jc w:val="both"/>
      </w:pPr>
      <w:bookmarkStart w:id="20" w:name="bookmark19"/>
      <w:bookmarkEnd w:id="20"/>
      <w:r>
        <w:t xml:space="preserve">poddawania się na żądanie pracownika Służby Ochrony ANWIL S.A. lub pracownika Obszaru Bezpieczeństwa ANWIL S.A. kontroli pojazdów </w:t>
      </w:r>
      <w:r>
        <w:t>zarówno podczas przekraczania bram jak i na terenie chronionym ANWIL S.A.,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6"/>
        </w:tabs>
        <w:spacing w:after="40" w:line="214" w:lineRule="auto"/>
        <w:ind w:left="720" w:hanging="280"/>
        <w:jc w:val="both"/>
      </w:pPr>
      <w:bookmarkStart w:id="21" w:name="bookmark20"/>
      <w:bookmarkEnd w:id="21"/>
      <w:r>
        <w:t>okazywania pracownikowi Służby Ochrony ANWIL S.A., w trakcie kontroli lub przekraczania bram, bez wezwania, obowiązujących w ANWIL S.A. przepustek i kart identyfikacyjnych,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6"/>
        </w:tabs>
        <w:spacing w:after="40" w:line="226" w:lineRule="auto"/>
        <w:ind w:left="720" w:hanging="280"/>
        <w:jc w:val="both"/>
      </w:pPr>
      <w:bookmarkStart w:id="22" w:name="bookmark21"/>
      <w:bookmarkEnd w:id="22"/>
      <w:r>
        <w:t>współpra</w:t>
      </w:r>
      <w:r>
        <w:t>cy z innymi pracodawcami w sprawach bhp, ppoż. i bezpieczeństwa procesowego w sytuacjach, gdy w tym samym miejscu wykonują pracę pracownicy zatrudnieni przez różnych pracodawców,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6"/>
        </w:tabs>
        <w:spacing w:after="40" w:line="218" w:lineRule="auto"/>
        <w:ind w:left="720" w:hanging="280"/>
        <w:jc w:val="both"/>
      </w:pPr>
      <w:bookmarkStart w:id="23" w:name="bookmark22"/>
      <w:bookmarkEnd w:id="23"/>
      <w:r>
        <w:t>przestrzegania zakazu używania telefonów komórkowych w miejscach oznakowanych</w:t>
      </w:r>
      <w:r>
        <w:t xml:space="preserve"> zakazem ich użytkowania,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36"/>
        </w:tabs>
        <w:spacing w:after="40" w:line="214" w:lineRule="auto"/>
        <w:ind w:left="720" w:hanging="280"/>
        <w:jc w:val="both"/>
      </w:pPr>
      <w:bookmarkStart w:id="24" w:name="bookmark23"/>
      <w:bookmarkEnd w:id="24"/>
      <w:r>
        <w:t>parkowania pojazdu tylko w miejscach do tego wyznaczonych i oznakowanych, pod groźbą cofnięcia uprawnień do wjazdu,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86"/>
        </w:tabs>
        <w:spacing w:line="214" w:lineRule="auto"/>
        <w:ind w:firstLine="440"/>
        <w:jc w:val="both"/>
      </w:pPr>
      <w:bookmarkStart w:id="25" w:name="bookmark24"/>
      <w:bookmarkEnd w:id="25"/>
      <w:r>
        <w:t>ścisłego przestrzegania zakazu tarasowania wszelkich dróg,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786"/>
        </w:tabs>
        <w:spacing w:after="40" w:line="223" w:lineRule="auto"/>
        <w:ind w:firstLine="440"/>
        <w:jc w:val="both"/>
      </w:pPr>
      <w:bookmarkStart w:id="26" w:name="bookmark25"/>
      <w:bookmarkEnd w:id="26"/>
      <w:r>
        <w:t xml:space="preserve">ścisłego przestrzegania poleceń wydawanych przez osoby </w:t>
      </w:r>
      <w:r>
        <w:t>działające w imieniu ANWIL S.A.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869"/>
        </w:tabs>
        <w:spacing w:line="228" w:lineRule="auto"/>
        <w:ind w:left="860" w:hanging="280"/>
        <w:jc w:val="both"/>
      </w:pPr>
      <w:bookmarkStart w:id="27" w:name="bookmark26"/>
      <w:bookmarkEnd w:id="27"/>
      <w:r>
        <w:t>bezzwłocznego informowania pracowników obsługi stanowiska załadunku/rozładunku oraz dyspozytora przedsiębiorstwa (tel.19 998 lub 54 414 2727) o wszystkich wypadkach przy pracy, wydarzeniach wypadkowych bez urazowych, jakie w</w:t>
      </w:r>
      <w:r>
        <w:t xml:space="preserve">ydarzyły się podczas wykonywania prac na terenie chronionym </w:t>
      </w:r>
      <w:r>
        <w:lastRenderedPageBreak/>
        <w:t>ANWIL S.A.,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869"/>
        </w:tabs>
        <w:spacing w:line="228" w:lineRule="auto"/>
        <w:ind w:left="860" w:hanging="280"/>
        <w:jc w:val="both"/>
      </w:pPr>
      <w:bookmarkStart w:id="28" w:name="bookmark27"/>
      <w:bookmarkEnd w:id="28"/>
      <w:r>
        <w:t>bezzwłocznego informowania pracowników obsługi stanowiska załadunku/rozładunku oraz straży pożarnej o wszystkich zdarzeniach pożarowych (zapłon, samozapłon, pożar) i innych miejscowych</w:t>
      </w:r>
      <w:r>
        <w:t xml:space="preserve"> zagrożeniach, jakie zauważy podczas wykonywania prac na terenie chronionym ANWIL S.A., pod nr telefonów alarmowych (19 998 lub 54 414 24 72),</w:t>
      </w:r>
    </w:p>
    <w:p w:rsidR="008144EC" w:rsidRDefault="00A729F8">
      <w:pPr>
        <w:pStyle w:val="Teksttreci0"/>
        <w:numPr>
          <w:ilvl w:val="0"/>
          <w:numId w:val="3"/>
        </w:numPr>
        <w:tabs>
          <w:tab w:val="left" w:pos="869"/>
        </w:tabs>
        <w:spacing w:line="226" w:lineRule="auto"/>
        <w:ind w:left="860" w:hanging="280"/>
        <w:jc w:val="both"/>
      </w:pPr>
      <w:bookmarkStart w:id="29" w:name="bookmark28"/>
      <w:bookmarkEnd w:id="29"/>
      <w:r>
        <w:t>podczas ogłoszenia ewakuacji obiektów / terenów, gdzie prowadzony jest załadunek/rozładunek bezwzględnie stosować</w:t>
      </w:r>
      <w:r>
        <w:t xml:space="preserve"> się do poleceń kierującego akcją ratowniczą oraz nie używać do ewakuacji samochodów.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530"/>
        </w:tabs>
        <w:spacing w:line="226" w:lineRule="auto"/>
        <w:ind w:firstLine="160"/>
      </w:pPr>
      <w:bookmarkStart w:id="30" w:name="bookmark29"/>
      <w:bookmarkEnd w:id="30"/>
      <w:r>
        <w:t>Kierowców autocystern wjeżdżających na teren chroniony ANWIL S.A. dodatkowo zobowiązuje się do:</w:t>
      </w:r>
    </w:p>
    <w:p w:rsidR="008144EC" w:rsidRDefault="00A729F8">
      <w:pPr>
        <w:pStyle w:val="Teksttreci0"/>
        <w:numPr>
          <w:ilvl w:val="0"/>
          <w:numId w:val="4"/>
        </w:numPr>
        <w:tabs>
          <w:tab w:val="left" w:pos="865"/>
        </w:tabs>
        <w:spacing w:after="200"/>
        <w:ind w:left="860" w:hanging="280"/>
        <w:jc w:val="both"/>
      </w:pPr>
      <w:bookmarkStart w:id="31" w:name="bookmark30"/>
      <w:bookmarkEnd w:id="31"/>
      <w:r>
        <w:t>nie rozpoczynania żadnych czynności załadowczych lub rozładowczych bez obe</w:t>
      </w:r>
      <w:r>
        <w:t>cności uprawnionego pracownika ANWIL S.A., w szczególności czynności łączeniowych autocysterny z instalacją ANWIL S.A.,</w:t>
      </w:r>
    </w:p>
    <w:p w:rsidR="008144EC" w:rsidRDefault="00A729F8">
      <w:pPr>
        <w:pStyle w:val="Teksttreci0"/>
        <w:numPr>
          <w:ilvl w:val="0"/>
          <w:numId w:val="4"/>
        </w:numPr>
        <w:tabs>
          <w:tab w:val="left" w:pos="865"/>
        </w:tabs>
        <w:spacing w:line="228" w:lineRule="auto"/>
        <w:ind w:firstLine="580"/>
        <w:jc w:val="both"/>
      </w:pPr>
      <w:bookmarkStart w:id="32" w:name="bookmark31"/>
      <w:bookmarkEnd w:id="32"/>
      <w:r>
        <w:t>podłączenia zacisku uziemiającego (jeżeli wymagane),</w:t>
      </w:r>
    </w:p>
    <w:p w:rsidR="008144EC" w:rsidRDefault="00A729F8">
      <w:pPr>
        <w:pStyle w:val="Teksttreci0"/>
        <w:numPr>
          <w:ilvl w:val="0"/>
          <w:numId w:val="4"/>
        </w:numPr>
        <w:tabs>
          <w:tab w:val="left" w:pos="865"/>
        </w:tabs>
        <w:spacing w:line="218" w:lineRule="auto"/>
        <w:ind w:left="860" w:hanging="280"/>
      </w:pPr>
      <w:bookmarkStart w:id="33" w:name="bookmark32"/>
      <w:bookmarkEnd w:id="33"/>
      <w:r>
        <w:t>bezwzględnego stosowania kompletnych, w dobrym stanie technicznym, pełnych szelek b</w:t>
      </w:r>
      <w:r>
        <w:t>ezpieczeństwa, wyposażonych w klamry zaczepowe typu D, podczas prac na autocysternach,</w:t>
      </w:r>
    </w:p>
    <w:p w:rsidR="008144EC" w:rsidRDefault="00A729F8">
      <w:pPr>
        <w:pStyle w:val="Teksttreci0"/>
        <w:numPr>
          <w:ilvl w:val="0"/>
          <w:numId w:val="4"/>
        </w:numPr>
        <w:tabs>
          <w:tab w:val="left" w:pos="869"/>
        </w:tabs>
        <w:spacing w:line="214" w:lineRule="auto"/>
        <w:ind w:left="860" w:hanging="280"/>
      </w:pPr>
      <w:bookmarkStart w:id="34" w:name="bookmark33"/>
      <w:bookmarkEnd w:id="34"/>
      <w:r>
        <w:t>bezwzględnego używania systemów asekuracyjnych zainstalowanych w ANWIL S.A. podczas prac na autocysternach,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530"/>
        </w:tabs>
        <w:spacing w:line="230" w:lineRule="auto"/>
        <w:ind w:left="500" w:hanging="340"/>
        <w:jc w:val="both"/>
      </w:pPr>
      <w:bookmarkStart w:id="35" w:name="bookmark34"/>
      <w:bookmarkEnd w:id="35"/>
      <w:r>
        <w:t>Podczas załadunków / rozładunków przy użytkowaniu wózków jezd</w:t>
      </w:r>
      <w:r>
        <w:t xml:space="preserve">niowych z napędem silnikowym kierowca ma obowiązek przebywania w miejscu wskazanym przez pracownika obsługi ANWIL S.A. Kierowcy zabrania się w tym czasie przebywania na skrzyni ładunkowej / naczepie pojazdu. W przypadku konieczności kontroli prawidłowości </w:t>
      </w:r>
      <w:r>
        <w:t>załadunku kierowca może wejść na skrzynię ładunkową / naczepę dopiero po całkowitym zatrzymaniu się wózka i uprzednim poinformowaniu operatora wózka o takiej konieczności.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530"/>
        </w:tabs>
        <w:spacing w:line="230" w:lineRule="auto"/>
        <w:ind w:left="500" w:hanging="340"/>
        <w:jc w:val="both"/>
      </w:pPr>
      <w:bookmarkStart w:id="36" w:name="bookmark35"/>
      <w:bookmarkEnd w:id="36"/>
      <w:r>
        <w:t>ANWIL S.A. zastrzega sobie możliwość prowadzenia kontroli prac wykonywanych przez ki</w:t>
      </w:r>
      <w:r>
        <w:t>erowcę działającego w imieniu Wykonawcy na terenie chronionym ANWIL S.A. w zakresie przestrzegania obowiązujących przepisów i zasad bezpieczeństwa pracy, przepisów ochrony środowiska, ochrony przeciwpożarowej oraz bezpieczeństwa procesowego.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530"/>
        </w:tabs>
        <w:spacing w:line="230" w:lineRule="auto"/>
        <w:ind w:firstLine="160"/>
        <w:jc w:val="both"/>
      </w:pPr>
      <w:bookmarkStart w:id="37" w:name="bookmark36"/>
      <w:bookmarkEnd w:id="37"/>
      <w:r>
        <w:t>Wykonawca oświ</w:t>
      </w:r>
      <w:r>
        <w:t>adcza, że:</w:t>
      </w:r>
    </w:p>
    <w:p w:rsidR="008144EC" w:rsidRDefault="00A729F8">
      <w:pPr>
        <w:pStyle w:val="Teksttreci0"/>
        <w:numPr>
          <w:ilvl w:val="0"/>
          <w:numId w:val="5"/>
        </w:numPr>
        <w:tabs>
          <w:tab w:val="left" w:pos="865"/>
        </w:tabs>
        <w:spacing w:line="230" w:lineRule="auto"/>
        <w:ind w:left="860" w:hanging="340"/>
        <w:jc w:val="both"/>
      </w:pPr>
      <w:bookmarkStart w:id="38" w:name="bookmark37"/>
      <w:bookmarkEnd w:id="38"/>
      <w:r>
        <w:t xml:space="preserve">kierowcy wykonujący na terenie chronionym ANWIL S.A. prace transportowe będą świadczyć usługę zgodnie z obowiązującymi wymaganiami w zakresie bezpieczeństwa pracy, ochrony przeciwpożarowej, ochrony środowiska oraz bezpieczeństwa procesowego </w:t>
      </w:r>
      <w:r>
        <w:t>zawartymi w przepisach ogólnie obowiązujących oraz obowiązujących na terenie chronionym ANWIL S.A. i zobowiązuje się oraz podwykonawców do ich przestrzegania,</w:t>
      </w:r>
    </w:p>
    <w:p w:rsidR="008144EC" w:rsidRDefault="00A729F8">
      <w:pPr>
        <w:pStyle w:val="Teksttreci0"/>
        <w:numPr>
          <w:ilvl w:val="0"/>
          <w:numId w:val="5"/>
        </w:numPr>
        <w:tabs>
          <w:tab w:val="left" w:pos="865"/>
        </w:tabs>
        <w:spacing w:line="218" w:lineRule="auto"/>
        <w:ind w:left="860" w:hanging="340"/>
        <w:jc w:val="both"/>
      </w:pPr>
      <w:bookmarkStart w:id="39" w:name="bookmark38"/>
      <w:bookmarkEnd w:id="39"/>
      <w:r>
        <w:t>kierowcy wykonujący na terenie chronionym ANWIL S.A. prace transportowe legitymują się aktualnymi</w:t>
      </w:r>
      <w:r>
        <w:t xml:space="preserve"> orzeczeniami lekarskimi o braku przeciwwskazań zdrowotnych do wykonywania tych prac,</w:t>
      </w:r>
    </w:p>
    <w:p w:rsidR="008144EC" w:rsidRDefault="00A729F8">
      <w:pPr>
        <w:pStyle w:val="Teksttreci0"/>
        <w:numPr>
          <w:ilvl w:val="0"/>
          <w:numId w:val="5"/>
        </w:numPr>
        <w:tabs>
          <w:tab w:val="left" w:pos="865"/>
        </w:tabs>
        <w:spacing w:line="218" w:lineRule="auto"/>
        <w:ind w:left="860" w:hanging="340"/>
        <w:jc w:val="both"/>
      </w:pPr>
      <w:bookmarkStart w:id="40" w:name="bookmark39"/>
      <w:bookmarkEnd w:id="40"/>
      <w:r>
        <w:t>kierowcy wykonujący na terenie chronionym ANWIL S.A. prace transportowe posiadają uprawnienia kwalifikacyjne właściwe do rodzaju prac wykonywanych na powyższym terenie,</w:t>
      </w:r>
    </w:p>
    <w:p w:rsidR="008144EC" w:rsidRDefault="00A729F8">
      <w:pPr>
        <w:pStyle w:val="Teksttreci0"/>
        <w:numPr>
          <w:ilvl w:val="0"/>
          <w:numId w:val="5"/>
        </w:numPr>
        <w:tabs>
          <w:tab w:val="left" w:pos="865"/>
        </w:tabs>
        <w:spacing w:line="230" w:lineRule="auto"/>
        <w:ind w:left="860" w:hanging="340"/>
        <w:jc w:val="both"/>
      </w:pPr>
      <w:bookmarkStart w:id="41" w:name="bookmark40"/>
      <w:bookmarkEnd w:id="41"/>
      <w:r>
        <w:t>e</w:t>
      </w:r>
      <w:r>
        <w:t>wentualne dochodzenie powypadkowe zobowiązuje się prowadzić we współpracy z przedstawicielem BHP ANWIL S.A., a także zobowiązuje się do przekazania do Obszaru Prewencji i BHP ANWIL S.A. kopii dokumentacji powypadkowej, sporządzonej zgodnie z przepisami obo</w:t>
      </w:r>
      <w:r>
        <w:t>wiązującymi w tym zakresie, po uprzednim usunięciu danych osobowych poszkodowanego i innych osób występujących w tych dokumentach,</w:t>
      </w:r>
    </w:p>
    <w:p w:rsidR="008144EC" w:rsidRDefault="00A729F8">
      <w:pPr>
        <w:pStyle w:val="Teksttreci0"/>
        <w:numPr>
          <w:ilvl w:val="0"/>
          <w:numId w:val="5"/>
        </w:numPr>
        <w:tabs>
          <w:tab w:val="left" w:pos="865"/>
        </w:tabs>
        <w:spacing w:line="218" w:lineRule="auto"/>
        <w:ind w:left="860" w:hanging="340"/>
      </w:pPr>
      <w:bookmarkStart w:id="42" w:name="bookmark41"/>
      <w:bookmarkEnd w:id="42"/>
      <w:r>
        <w:t>w sprawach bezpieczeństwa i higieny pracy, ochrony przeciwpożarowej, ochrony środowiska oraz bezpieczeństwa procesowego będzi</w:t>
      </w:r>
      <w:r>
        <w:t>e respektował uwagi i polecenia przedstawicieli ANWIL S.A.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530"/>
        </w:tabs>
        <w:spacing w:line="218" w:lineRule="auto"/>
        <w:ind w:firstLine="160"/>
      </w:pPr>
      <w:bookmarkStart w:id="43" w:name="bookmark42"/>
      <w:bookmarkEnd w:id="43"/>
      <w:r>
        <w:t>Na terenie chronionym ANWIL S.A. zabrania się:</w:t>
      </w:r>
    </w:p>
    <w:p w:rsidR="008144EC" w:rsidRDefault="00A729F8">
      <w:pPr>
        <w:pStyle w:val="Teksttreci0"/>
        <w:numPr>
          <w:ilvl w:val="0"/>
          <w:numId w:val="6"/>
        </w:numPr>
        <w:tabs>
          <w:tab w:val="left" w:pos="1146"/>
        </w:tabs>
        <w:spacing w:line="218" w:lineRule="auto"/>
        <w:ind w:firstLine="800"/>
        <w:jc w:val="both"/>
      </w:pPr>
      <w:bookmarkStart w:id="44" w:name="bookmark43"/>
      <w:bookmarkEnd w:id="44"/>
      <w:r>
        <w:t>kontynuowania jazdy pojazdem w trakcie ogłoszenia alarmu chemicznego,</w:t>
      </w:r>
    </w:p>
    <w:p w:rsidR="008144EC" w:rsidRDefault="00A729F8">
      <w:pPr>
        <w:pStyle w:val="Teksttreci0"/>
        <w:numPr>
          <w:ilvl w:val="0"/>
          <w:numId w:val="6"/>
        </w:numPr>
        <w:tabs>
          <w:tab w:val="left" w:pos="1146"/>
        </w:tabs>
        <w:spacing w:line="218" w:lineRule="auto"/>
        <w:ind w:firstLine="800"/>
        <w:jc w:val="both"/>
      </w:pPr>
      <w:bookmarkStart w:id="45" w:name="bookmark44"/>
      <w:bookmarkEnd w:id="45"/>
      <w:r>
        <w:t>jazdy samochodów ciężarowych i specjalnych z otwartą skrzynią ładunkową,</w:t>
      </w:r>
    </w:p>
    <w:p w:rsidR="008144EC" w:rsidRDefault="00A729F8">
      <w:pPr>
        <w:pStyle w:val="Teksttreci0"/>
        <w:numPr>
          <w:ilvl w:val="0"/>
          <w:numId w:val="6"/>
        </w:numPr>
        <w:tabs>
          <w:tab w:val="left" w:pos="1146"/>
        </w:tabs>
        <w:spacing w:line="218" w:lineRule="auto"/>
        <w:ind w:firstLine="800"/>
        <w:jc w:val="both"/>
      </w:pPr>
      <w:bookmarkStart w:id="46" w:name="bookmark45"/>
      <w:bookmarkEnd w:id="46"/>
      <w:r>
        <w:t>palenia</w:t>
      </w:r>
      <w:r>
        <w:t xml:space="preserve"> tytoniu w pojazdach i poza nimi (dot. również tzw. e-papierosów),</w:t>
      </w:r>
    </w:p>
    <w:p w:rsidR="008144EC" w:rsidRDefault="00A729F8">
      <w:pPr>
        <w:pStyle w:val="Teksttreci0"/>
        <w:numPr>
          <w:ilvl w:val="0"/>
          <w:numId w:val="6"/>
        </w:numPr>
        <w:tabs>
          <w:tab w:val="left" w:pos="1146"/>
        </w:tabs>
        <w:spacing w:line="218" w:lineRule="auto"/>
        <w:ind w:firstLine="800"/>
        <w:jc w:val="both"/>
      </w:pPr>
      <w:bookmarkStart w:id="47" w:name="bookmark46"/>
      <w:bookmarkEnd w:id="47"/>
      <w:r>
        <w:t>pozostawiania wszelkiego typu odpadów,</w:t>
      </w:r>
    </w:p>
    <w:p w:rsidR="008144EC" w:rsidRDefault="00A729F8">
      <w:pPr>
        <w:pStyle w:val="Teksttreci0"/>
        <w:numPr>
          <w:ilvl w:val="0"/>
          <w:numId w:val="6"/>
        </w:numPr>
        <w:tabs>
          <w:tab w:val="left" w:pos="1146"/>
        </w:tabs>
        <w:spacing w:line="218" w:lineRule="auto"/>
        <w:ind w:firstLine="800"/>
        <w:jc w:val="both"/>
      </w:pPr>
      <w:bookmarkStart w:id="48" w:name="bookmark47"/>
      <w:bookmarkEnd w:id="48"/>
      <w:r>
        <w:t>naprawy środków transportu na drogowych ciągach komunikacyjnych,</w:t>
      </w:r>
    </w:p>
    <w:p w:rsidR="008144EC" w:rsidRDefault="00A729F8">
      <w:pPr>
        <w:pStyle w:val="Teksttreci0"/>
        <w:numPr>
          <w:ilvl w:val="0"/>
          <w:numId w:val="6"/>
        </w:numPr>
        <w:tabs>
          <w:tab w:val="left" w:pos="1146"/>
        </w:tabs>
        <w:spacing w:line="218" w:lineRule="auto"/>
        <w:ind w:firstLine="800"/>
        <w:jc w:val="both"/>
      </w:pPr>
      <w:bookmarkStart w:id="49" w:name="bookmark48"/>
      <w:bookmarkEnd w:id="49"/>
      <w:r>
        <w:t>mycia środków transportu poza wyznaczonymi myjniami,</w:t>
      </w:r>
    </w:p>
    <w:p w:rsidR="008144EC" w:rsidRDefault="00A729F8">
      <w:pPr>
        <w:pStyle w:val="Teksttreci0"/>
        <w:numPr>
          <w:ilvl w:val="0"/>
          <w:numId w:val="6"/>
        </w:numPr>
        <w:tabs>
          <w:tab w:val="left" w:pos="1146"/>
        </w:tabs>
        <w:spacing w:line="214" w:lineRule="auto"/>
        <w:ind w:left="1140" w:hanging="340"/>
        <w:jc w:val="both"/>
      </w:pPr>
      <w:bookmarkStart w:id="50" w:name="bookmark49"/>
      <w:bookmarkEnd w:id="50"/>
      <w:r>
        <w:t>wwożenia i wywożenia kanistrów z</w:t>
      </w:r>
      <w:r>
        <w:t xml:space="preserve"> paliwem, chyba że fakt ten jest udokumentowany w karcie drogowej,</w:t>
      </w:r>
    </w:p>
    <w:p w:rsidR="008144EC" w:rsidRDefault="00A729F8">
      <w:pPr>
        <w:pStyle w:val="Teksttreci0"/>
        <w:numPr>
          <w:ilvl w:val="0"/>
          <w:numId w:val="6"/>
        </w:numPr>
        <w:tabs>
          <w:tab w:val="left" w:pos="1139"/>
        </w:tabs>
        <w:spacing w:line="218" w:lineRule="auto"/>
        <w:ind w:left="1140" w:hanging="340"/>
      </w:pPr>
      <w:bookmarkStart w:id="51" w:name="bookmark50"/>
      <w:bookmarkEnd w:id="51"/>
      <w:r>
        <w:t>handlu paliwem (także na parkingach i terenach znajdujących się w bezpośrednim sąsiedztwie ANWIL S.A.),</w:t>
      </w:r>
    </w:p>
    <w:p w:rsidR="008144EC" w:rsidRDefault="00A729F8">
      <w:pPr>
        <w:pStyle w:val="Teksttreci0"/>
        <w:numPr>
          <w:ilvl w:val="0"/>
          <w:numId w:val="6"/>
        </w:numPr>
        <w:tabs>
          <w:tab w:val="left" w:pos="1139"/>
        </w:tabs>
        <w:spacing w:line="218" w:lineRule="auto"/>
        <w:ind w:firstLine="780"/>
      </w:pPr>
      <w:bookmarkStart w:id="52" w:name="bookmark51"/>
      <w:bookmarkEnd w:id="52"/>
      <w:r>
        <w:t>wnoszenia oraz wwożenia broni, amunicji oraz środków pirotechnicznych,</w:t>
      </w:r>
    </w:p>
    <w:p w:rsidR="008144EC" w:rsidRDefault="00A729F8">
      <w:pPr>
        <w:pStyle w:val="Teksttreci0"/>
        <w:numPr>
          <w:ilvl w:val="0"/>
          <w:numId w:val="6"/>
        </w:numPr>
        <w:tabs>
          <w:tab w:val="left" w:pos="1139"/>
        </w:tabs>
        <w:spacing w:line="218" w:lineRule="auto"/>
        <w:ind w:left="1140" w:hanging="340"/>
      </w:pPr>
      <w:bookmarkStart w:id="53" w:name="bookmark52"/>
      <w:bookmarkEnd w:id="53"/>
      <w:r>
        <w:t>fotografowania, filmowania i szkicowania bez uzyskania zezwolenia od Obszaru Bezpieczeństwa ANWIL S.A.</w:t>
      </w:r>
    </w:p>
    <w:p w:rsidR="008144EC" w:rsidRDefault="00A729F8">
      <w:pPr>
        <w:pStyle w:val="Teksttreci0"/>
        <w:numPr>
          <w:ilvl w:val="0"/>
          <w:numId w:val="2"/>
        </w:numPr>
        <w:tabs>
          <w:tab w:val="left" w:pos="568"/>
        </w:tabs>
        <w:spacing w:after="240" w:line="233" w:lineRule="auto"/>
        <w:ind w:left="520" w:hanging="360"/>
        <w:jc w:val="both"/>
      </w:pPr>
      <w:bookmarkStart w:id="54" w:name="bookmark53"/>
      <w:bookmarkEnd w:id="54"/>
      <w:r>
        <w:t xml:space="preserve">W razie stwierdzenia przez nadzór ANWIL S.A. niewywiązywania się przez pracownika lub inną osobę działająca w imieniu Wykonawcy, podczas realizacji prac </w:t>
      </w:r>
      <w:r>
        <w:t xml:space="preserve">na terenie chronionym ANWIL S.A z postanowień zawartych w </w:t>
      </w:r>
      <w:r>
        <w:lastRenderedPageBreak/>
        <w:t>niniejszym załączniku lub naruszania przepisów i zasad bezpieczeństwa i higieny pracy, ochrony przeciwpożarowej, ochrony środowiska lub bezpieczeństwa procesowego zawartych w przepisach ogólnie obow</w:t>
      </w:r>
      <w:r>
        <w:t xml:space="preserve">iązujących i obowiązujących na terenie chronionym ANWIL S.A., ANWIL S.A. zastrzega sobie możliwość nałożenia kar pieniężnych według poniższego Taryfikatora kar pieniężnych (pkt II). Podstawą do obciążenia Wykonawcy karą pieniężną będzie zatwierdzony przez </w:t>
      </w:r>
      <w:r>
        <w:t>Dyrektora ds. Prewencji i BHP ANWIL S.A. „Protokół ukarania Wykonawcy karą pieniężną” (pkt III).</w:t>
      </w:r>
    </w:p>
    <w:p w:rsidR="008144EC" w:rsidRDefault="00A729F8">
      <w:pPr>
        <w:pStyle w:val="Teksttreci0"/>
        <w:numPr>
          <w:ilvl w:val="0"/>
          <w:numId w:val="1"/>
        </w:numPr>
        <w:tabs>
          <w:tab w:val="left" w:pos="377"/>
        </w:tabs>
        <w:spacing w:after="480" w:line="233" w:lineRule="auto"/>
        <w:ind w:firstLine="160"/>
      </w:pPr>
      <w:bookmarkStart w:id="55" w:name="bookmark54"/>
      <w:bookmarkEnd w:id="55"/>
      <w:r>
        <w:rPr>
          <w:b/>
          <w:bCs/>
        </w:rPr>
        <w:t>Taryfikator kar pieniężnych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"/>
        <w:gridCol w:w="6101"/>
        <w:gridCol w:w="2674"/>
      </w:tblGrid>
      <w:tr w:rsidR="008144EC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  <w:ind w:firstLine="140"/>
            </w:pPr>
            <w:r>
              <w:rPr>
                <w:b/>
                <w:bCs/>
              </w:rPr>
              <w:t>Lp</w:t>
            </w:r>
            <w:r>
              <w:t>.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  <w:ind w:firstLine="240"/>
            </w:pPr>
            <w:r>
              <w:rPr>
                <w:b/>
                <w:bCs/>
              </w:rPr>
              <w:t>Zakres stwierdzonych uchybień, nieprawidłowości, niezgodności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jc w:val="center"/>
            </w:pPr>
            <w:r>
              <w:rPr>
                <w:b/>
                <w:bCs/>
              </w:rPr>
              <w:t>Kwota kary pieniężnej w PLN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ind w:firstLine="200"/>
            </w:pPr>
            <w:r>
              <w:t>1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</w:pPr>
            <w:r>
              <w:t>Przebywanie osoby nieuprawnionej w</w:t>
            </w:r>
            <w:r>
              <w:t xml:space="preserve"> miejscach niedozwolonych i oznakowanych zakazem wstępu.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  <w:jc w:val="center"/>
            </w:pPr>
            <w:r>
              <w:t>500 zł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ind w:firstLine="200"/>
            </w:pPr>
            <w:r>
              <w:t>2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</w:pPr>
            <w:r>
              <w:t xml:space="preserve">Nieużywanie środków ochrony indywidualnej: hełmów ochronnych, okularów przeciwodpryskowych, środków chroniących przed upadkiem z wysokości (jeżeli były wymagane) oraz ubrań i obuwia </w:t>
            </w:r>
            <w:r>
              <w:t>roboczego.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jc w:val="center"/>
            </w:pPr>
            <w:r>
              <w:t>1000 zł za każdą osobę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  <w:ind w:firstLine="200"/>
            </w:pPr>
            <w:r>
              <w:t>3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</w:pPr>
            <w:r>
              <w:t>Parkowanie pojazdu w miejscach do tego nie wyznaczonych.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  <w:jc w:val="center"/>
            </w:pPr>
            <w:r>
              <w:t>200 zł/ za każdy pojazd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  <w:ind w:firstLine="200"/>
            </w:pPr>
            <w:r>
              <w:t>4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</w:pPr>
            <w:r>
              <w:t>Nie wyjęcie kluczyków ze stacyjki podczas rozładunku/załadunku.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  <w:jc w:val="center"/>
            </w:pPr>
            <w:r>
              <w:t>500 zł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  <w:ind w:firstLine="200"/>
            </w:pPr>
            <w:r>
              <w:t>5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</w:pPr>
            <w:r>
              <w:t xml:space="preserve">Nie zaciągnięcie hamulca postojowego podczas </w:t>
            </w:r>
            <w:r>
              <w:t>rozładunku/załadunku.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  <w:jc w:val="center"/>
            </w:pPr>
            <w:r>
              <w:t>500 zł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  <w:ind w:firstLine="200"/>
            </w:pPr>
            <w:r>
              <w:t>6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</w:pPr>
            <w:r>
              <w:t>Nie zabezpieczenie klinami pojazdu przed przemieszczeniem.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  <w:jc w:val="center"/>
            </w:pPr>
            <w:r>
              <w:t>1000 zł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10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ind w:firstLine="200"/>
            </w:pPr>
            <w:r>
              <w:t>7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</w:pPr>
            <w:r>
              <w:t xml:space="preserve">Utrudnianie nadzorowi i służbom ANWIL S.A. prowadzenia kontroli przestrzegania ogólnie obowiązujących przepisów BHP, ppoż., ochrony środowiska, </w:t>
            </w:r>
            <w:r>
              <w:t>bezpieczeństwa procesowego, a także wymagań w powyższym zakresie zawartych w Umowie.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jc w:val="center"/>
            </w:pPr>
            <w:r>
              <w:t>300 zł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ind w:firstLine="200"/>
            </w:pPr>
            <w:r>
              <w:t>8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</w:pPr>
            <w:r>
              <w:t xml:space="preserve">Nie realizowanie poleceń wydanych przez osoby nadzoru w zakresie bezpieczeństwa pracy, ppoż., ochrony środowiska, bezpieczeństwa procesowego w odniesieniu do </w:t>
            </w:r>
            <w:r>
              <w:t>realizowanych prac.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jc w:val="center"/>
            </w:pPr>
            <w:r>
              <w:t>500 zł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ind w:firstLine="200"/>
            </w:pPr>
            <w:r>
              <w:t>9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</w:pPr>
            <w:r>
              <w:t>Stwierdzone naruszenie przepisów ochrony środowiska.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  <w:jc w:val="center"/>
            </w:pPr>
            <w:r>
              <w:t>2000 zł + naprawa szkody w środowisku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ind w:firstLine="200"/>
            </w:pPr>
            <w:r>
              <w:t>10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</w:pPr>
            <w:r>
              <w:t>Używanie telefonu komórkowego w wykonaniu zwykłym w miejscach oznakowanych zakazem ich używania.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jc w:val="center"/>
            </w:pPr>
            <w:r>
              <w:t>500 zł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ind w:firstLine="200"/>
            </w:pPr>
            <w:r>
              <w:t>11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</w:pPr>
            <w:r>
              <w:t>przebywanie pod wpływem</w:t>
            </w:r>
            <w:r>
              <w:t xml:space="preserve"> alkoholu lub środków odurzających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  <w:jc w:val="center"/>
            </w:pPr>
            <w:r>
              <w:t>10 000 zł + wpis na listę Persona Non Grata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ind w:firstLine="200"/>
            </w:pPr>
            <w:r>
              <w:t>12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</w:pPr>
            <w:r>
              <w:t>wykorzystanie cudzej karty dostępu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  <w:jc w:val="center"/>
            </w:pPr>
            <w:r>
              <w:t>3000 zł + wpis na listę Persona Non Grata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ind w:firstLine="200"/>
            </w:pPr>
            <w:r>
              <w:t>13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</w:pPr>
            <w:r>
              <w:t>zabór mienia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  <w:jc w:val="center"/>
            </w:pPr>
            <w:r>
              <w:t>10 000 zł + wpis na listę Persona Non Grata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26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  <w:ind w:firstLine="200"/>
            </w:pPr>
            <w:r>
              <w:t>14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</w:pPr>
            <w:r>
              <w:t xml:space="preserve">przekroczenie prędkości na </w:t>
            </w:r>
            <w:r>
              <w:t>terenie Zakładu Produkcyjnego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44EC" w:rsidRDefault="00A729F8">
            <w:pPr>
              <w:pStyle w:val="Inne0"/>
              <w:jc w:val="center"/>
            </w:pPr>
            <w:r>
              <w:t>1000 zł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76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144EC" w:rsidRDefault="00A729F8">
            <w:pPr>
              <w:pStyle w:val="Inne0"/>
              <w:ind w:firstLine="200"/>
            </w:pPr>
            <w:r>
              <w:t>15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</w:pPr>
            <w:r>
              <w:t>spowodowanie kolizji drogowej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  <w:jc w:val="center"/>
            </w:pPr>
            <w:r>
              <w:t>1000 zł + wpis na listę Persona Non Grata</w:t>
            </w:r>
          </w:p>
        </w:tc>
      </w:tr>
      <w:tr w:rsidR="008144EC">
        <w:tblPrEx>
          <w:tblCellMar>
            <w:top w:w="0" w:type="dxa"/>
            <w:bottom w:w="0" w:type="dxa"/>
          </w:tblCellMar>
        </w:tblPrEx>
        <w:trPr>
          <w:trHeight w:hRule="exact" w:val="27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  <w:ind w:firstLine="200"/>
            </w:pPr>
            <w:r>
              <w:t>16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</w:pPr>
            <w:r>
              <w:t>filmowanie/fotografowanie/szkicowanie bez zezwolenia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4EC" w:rsidRDefault="00A729F8">
            <w:pPr>
              <w:pStyle w:val="Inne0"/>
              <w:jc w:val="center"/>
            </w:pPr>
            <w:r>
              <w:t>5 000 zł</w:t>
            </w:r>
          </w:p>
        </w:tc>
      </w:tr>
    </w:tbl>
    <w:p w:rsidR="008144EC" w:rsidRDefault="00A729F8">
      <w:pPr>
        <w:pStyle w:val="Teksttreci0"/>
        <w:numPr>
          <w:ilvl w:val="0"/>
          <w:numId w:val="1"/>
        </w:numPr>
        <w:tabs>
          <w:tab w:val="left" w:pos="1035"/>
        </w:tabs>
        <w:spacing w:after="500" w:line="228" w:lineRule="auto"/>
        <w:ind w:firstLine="720"/>
      </w:pPr>
      <w:bookmarkStart w:id="56" w:name="bookmark55"/>
      <w:bookmarkEnd w:id="56"/>
      <w:r>
        <w:t>Wzór protokołu ukarania Wykonawcy karą pieniężną.</w:t>
      </w:r>
    </w:p>
    <w:p w:rsidR="008144EC" w:rsidRDefault="00A729F8">
      <w:pPr>
        <w:pStyle w:val="Nagwek10"/>
        <w:keepNext/>
        <w:keepLines/>
        <w:spacing w:after="260"/>
        <w:jc w:val="center"/>
      </w:pPr>
      <w:bookmarkStart w:id="57" w:name="bookmark56"/>
      <w:bookmarkStart w:id="58" w:name="bookmark57"/>
      <w:bookmarkStart w:id="59" w:name="bookmark58"/>
      <w:r>
        <w:t xml:space="preserve">Protokół ukarania </w:t>
      </w:r>
      <w:r>
        <w:t>Wykonawcy karą pieniężną</w:t>
      </w:r>
      <w:r>
        <w:br/>
        <w:t>Protokół nr /</w:t>
      </w:r>
      <w:bookmarkEnd w:id="57"/>
      <w:bookmarkEnd w:id="58"/>
      <w:bookmarkEnd w:id="59"/>
    </w:p>
    <w:p w:rsidR="008144EC" w:rsidRDefault="00A729F8">
      <w:pPr>
        <w:pStyle w:val="Teksttreci0"/>
        <w:numPr>
          <w:ilvl w:val="0"/>
          <w:numId w:val="7"/>
        </w:numPr>
        <w:tabs>
          <w:tab w:val="left" w:pos="282"/>
          <w:tab w:val="left" w:leader="dot" w:pos="4361"/>
          <w:tab w:val="left" w:leader="dot" w:pos="6226"/>
        </w:tabs>
        <w:spacing w:line="228" w:lineRule="auto"/>
      </w:pPr>
      <w:bookmarkStart w:id="60" w:name="bookmark59"/>
      <w:bookmarkEnd w:id="60"/>
      <w:r>
        <w:rPr>
          <w:b/>
          <w:bCs/>
        </w:rPr>
        <w:t>Na podstawie</w:t>
      </w:r>
      <w:r>
        <w:t>: UMOWY nr</w:t>
      </w:r>
      <w:r>
        <w:tab/>
        <w:t>z dnia</w:t>
      </w:r>
      <w:r>
        <w:tab/>
      </w:r>
    </w:p>
    <w:p w:rsidR="008144EC" w:rsidRDefault="00A729F8">
      <w:pPr>
        <w:pStyle w:val="Teksttreci0"/>
        <w:tabs>
          <w:tab w:val="left" w:leader="dot" w:pos="5688"/>
        </w:tabs>
        <w:spacing w:line="228" w:lineRule="auto"/>
      </w:pPr>
      <w:r>
        <w:t>dotyczącej</w:t>
      </w:r>
      <w:r>
        <w:tab/>
      </w:r>
    </w:p>
    <w:p w:rsidR="008144EC" w:rsidRDefault="00A729F8">
      <w:pPr>
        <w:pStyle w:val="Teksttreci0"/>
        <w:tabs>
          <w:tab w:val="left" w:leader="dot" w:pos="2248"/>
        </w:tabs>
        <w:spacing w:line="228" w:lineRule="auto"/>
      </w:pPr>
      <w:r>
        <w:lastRenderedPageBreak/>
        <w:t>w dniu</w:t>
      </w:r>
      <w:r>
        <w:tab/>
      </w:r>
    </w:p>
    <w:p w:rsidR="008144EC" w:rsidRDefault="00A729F8">
      <w:pPr>
        <w:pStyle w:val="Teksttreci0"/>
        <w:tabs>
          <w:tab w:val="left" w:leader="dot" w:pos="2248"/>
        </w:tabs>
        <w:spacing w:line="228" w:lineRule="auto"/>
      </w:pPr>
      <w:r>
        <w:t>miejscu</w:t>
      </w:r>
      <w:r>
        <w:tab/>
      </w:r>
    </w:p>
    <w:p w:rsidR="008144EC" w:rsidRDefault="00A729F8">
      <w:pPr>
        <w:pStyle w:val="Teksttreci0"/>
        <w:spacing w:line="228" w:lineRule="auto"/>
      </w:pPr>
      <w:r>
        <w:t xml:space="preserve">przeprowadzona została kontrola przestrzegania przez kierowcę działającego w imieniu </w:t>
      </w:r>
      <w:r>
        <w:rPr>
          <w:b/>
          <w:bCs/>
        </w:rPr>
        <w:t xml:space="preserve">Wykonawcy </w:t>
      </w:r>
      <w:r>
        <w:t>przepisów bezpieczeństwa i higieny pracy/ochrony przeciwpożaro</w:t>
      </w:r>
      <w:r>
        <w:t>wej/bezpieczeństwa procesowego/transportu/ochrony środowiska obowiązujących na terenie ANWIL S.A., zawartych w przepisach ogólnie obowiązujących oraz określonych w Umowie i Załącznikach.</w:t>
      </w:r>
    </w:p>
    <w:p w:rsidR="008144EC" w:rsidRDefault="00A729F8">
      <w:pPr>
        <w:pStyle w:val="Teksttreci0"/>
        <w:numPr>
          <w:ilvl w:val="0"/>
          <w:numId w:val="7"/>
        </w:numPr>
        <w:tabs>
          <w:tab w:val="left" w:pos="330"/>
        </w:tabs>
        <w:spacing w:after="500" w:line="228" w:lineRule="auto"/>
      </w:pPr>
      <w:bookmarkStart w:id="61" w:name="bookmark60"/>
      <w:bookmarkEnd w:id="61"/>
      <w:r>
        <w:rPr>
          <w:b/>
          <w:bCs/>
        </w:rPr>
        <w:t>Dodatkowe informacje:</w:t>
      </w:r>
    </w:p>
    <w:p w:rsidR="008144EC" w:rsidRDefault="00A729F8">
      <w:pPr>
        <w:pStyle w:val="Teksttreci0"/>
        <w:numPr>
          <w:ilvl w:val="0"/>
          <w:numId w:val="7"/>
        </w:numPr>
        <w:tabs>
          <w:tab w:val="left" w:pos="382"/>
        </w:tabs>
        <w:spacing w:after="260"/>
      </w:pPr>
      <w:bookmarkStart w:id="62" w:name="bookmark61"/>
      <w:bookmarkEnd w:id="62"/>
      <w:r>
        <w:rPr>
          <w:b/>
          <w:bCs/>
        </w:rPr>
        <w:t xml:space="preserve">Stwierdzono następujące nieprawidłowości, </w:t>
      </w:r>
      <w:r>
        <w:rPr>
          <w:b/>
          <w:bCs/>
        </w:rPr>
        <w:t>uchybienia, niezgodności:</w:t>
      </w:r>
    </w:p>
    <w:p w:rsidR="008144EC" w:rsidRDefault="00A729F8">
      <w:pPr>
        <w:pStyle w:val="Teksttreci0"/>
        <w:numPr>
          <w:ilvl w:val="0"/>
          <w:numId w:val="8"/>
        </w:numPr>
        <w:tabs>
          <w:tab w:val="left" w:pos="248"/>
          <w:tab w:val="left" w:leader="dot" w:pos="7872"/>
        </w:tabs>
        <w:spacing w:line="259" w:lineRule="auto"/>
        <w:rPr>
          <w:sz w:val="20"/>
          <w:szCs w:val="20"/>
        </w:rPr>
      </w:pPr>
      <w:bookmarkStart w:id="63" w:name="bookmark62"/>
      <w:bookmarkEnd w:id="63"/>
      <w:r>
        <w:rPr>
          <w:sz w:val="20"/>
          <w:szCs w:val="20"/>
        </w:rPr>
        <w:tab/>
      </w:r>
    </w:p>
    <w:p w:rsidR="008144EC" w:rsidRDefault="00A729F8">
      <w:pPr>
        <w:pStyle w:val="Teksttreci0"/>
        <w:tabs>
          <w:tab w:val="right" w:leader="dot" w:pos="5882"/>
          <w:tab w:val="left" w:pos="6087"/>
        </w:tabs>
        <w:ind w:firstLine="300"/>
      </w:pPr>
      <w:r>
        <w:t>- co odpowiada pozycji nr</w:t>
      </w:r>
      <w:r>
        <w:tab/>
        <w:t>„Taryfikatora</w:t>
      </w:r>
      <w:r>
        <w:tab/>
        <w:t>kar pieniężnych”.</w:t>
      </w:r>
    </w:p>
    <w:p w:rsidR="008144EC" w:rsidRDefault="00A729F8">
      <w:pPr>
        <w:pStyle w:val="Teksttreci0"/>
        <w:tabs>
          <w:tab w:val="left" w:leader="dot" w:pos="3066"/>
        </w:tabs>
        <w:spacing w:after="260"/>
        <w:ind w:firstLine="300"/>
      </w:pPr>
      <w:r>
        <w:t>Kara w wysokości</w:t>
      </w:r>
      <w:r>
        <w:tab/>
        <w:t>zł.</w:t>
      </w:r>
    </w:p>
    <w:p w:rsidR="008144EC" w:rsidRDefault="00A729F8">
      <w:pPr>
        <w:pStyle w:val="Teksttreci0"/>
        <w:numPr>
          <w:ilvl w:val="0"/>
          <w:numId w:val="8"/>
        </w:numPr>
        <w:tabs>
          <w:tab w:val="left" w:pos="286"/>
          <w:tab w:val="right" w:leader="dot" w:pos="6398"/>
          <w:tab w:val="left" w:pos="6677"/>
        </w:tabs>
        <w:rPr>
          <w:sz w:val="20"/>
          <w:szCs w:val="20"/>
        </w:rPr>
      </w:pPr>
      <w:bookmarkStart w:id="64" w:name="bookmark63"/>
      <w:bookmarkEnd w:id="64"/>
      <w:r>
        <w:tab/>
        <w:t xml:space="preserve"> -</w:t>
      </w:r>
      <w:r>
        <w:tab/>
        <w:t xml:space="preserve">co odpowiada poz. </w:t>
      </w:r>
      <w:r>
        <w:rPr>
          <w:sz w:val="20"/>
          <w:szCs w:val="20"/>
        </w:rPr>
        <w:t>nr</w:t>
      </w:r>
    </w:p>
    <w:p w:rsidR="008144EC" w:rsidRDefault="00A729F8">
      <w:pPr>
        <w:pStyle w:val="Teksttreci0"/>
        <w:tabs>
          <w:tab w:val="left" w:leader="dot" w:pos="2249"/>
          <w:tab w:val="left" w:leader="dot" w:pos="3030"/>
        </w:tabs>
        <w:spacing w:after="260"/>
        <w:ind w:left="380" w:firstLine="20"/>
      </w:pPr>
      <w:r>
        <w:tab/>
        <w:t>„Taryfikatora kar pieniężnych”. Kara w wysokości</w:t>
      </w:r>
      <w:r>
        <w:tab/>
        <w:t>zł.</w:t>
      </w:r>
    </w:p>
    <w:p w:rsidR="008144EC" w:rsidRDefault="00A729F8">
      <w:pPr>
        <w:pStyle w:val="Teksttreci0"/>
        <w:tabs>
          <w:tab w:val="right" w:leader="dot" w:pos="1709"/>
          <w:tab w:val="left" w:pos="1914"/>
          <w:tab w:val="right" w:leader="dot" w:pos="8674"/>
        </w:tabs>
        <w:spacing w:after="260"/>
      </w:pPr>
      <w:r>
        <w:rPr>
          <w:b/>
          <w:bCs/>
        </w:rPr>
        <w:t xml:space="preserve">Stwierdzone nieprawidłowości, uchybienia i niezgodności będą podstawą </w:t>
      </w:r>
      <w:r>
        <w:rPr>
          <w:b/>
          <w:bCs/>
        </w:rPr>
        <w:t xml:space="preserve">do naliczenia kar pieniężnych zgodnie z „Taryfikatorem kar pieniężnych”. Wysokość łącznej kwoty kary pieniężnej wynosi </w:t>
      </w:r>
      <w:r>
        <w:rPr>
          <w:b/>
          <w:bCs/>
          <w:sz w:val="20"/>
          <w:szCs w:val="20"/>
        </w:rPr>
        <w:tab/>
        <w:t>PLN</w:t>
      </w:r>
      <w:r>
        <w:rPr>
          <w:b/>
          <w:bCs/>
          <w:sz w:val="20"/>
          <w:szCs w:val="20"/>
        </w:rPr>
        <w:tab/>
        <w:t xml:space="preserve">(słownie </w:t>
      </w:r>
      <w:r>
        <w:rPr>
          <w:b/>
          <w:bCs/>
          <w:sz w:val="20"/>
          <w:szCs w:val="20"/>
        </w:rPr>
        <w:tab/>
        <w:t xml:space="preserve">) </w:t>
      </w:r>
      <w:r>
        <w:rPr>
          <w:b/>
          <w:bCs/>
        </w:rPr>
        <w:t>i zostanie umieszczona w nocie księgowej (obciążeniowej).</w:t>
      </w:r>
    </w:p>
    <w:p w:rsidR="008144EC" w:rsidRDefault="00A729F8">
      <w:pPr>
        <w:pStyle w:val="Nagwek10"/>
        <w:keepNext/>
        <w:keepLines/>
        <w:numPr>
          <w:ilvl w:val="0"/>
          <w:numId w:val="7"/>
        </w:numPr>
        <w:tabs>
          <w:tab w:val="left" w:pos="402"/>
        </w:tabs>
        <w:spacing w:after="0"/>
        <w:rPr>
          <w:sz w:val="20"/>
          <w:szCs w:val="20"/>
        </w:rPr>
      </w:pPr>
      <w:bookmarkStart w:id="65" w:name="bookmark66"/>
      <w:bookmarkStart w:id="66" w:name="bookmark64"/>
      <w:bookmarkStart w:id="67" w:name="bookmark65"/>
      <w:bookmarkStart w:id="68" w:name="bookmark67"/>
      <w:bookmarkEnd w:id="65"/>
      <w:r>
        <w:t>Kontrolowany</w:t>
      </w:r>
      <w:bookmarkEnd w:id="66"/>
      <w:bookmarkEnd w:id="67"/>
      <w:bookmarkEnd w:id="68"/>
      <w:r>
        <w:t xml:space="preserve"> </w:t>
      </w:r>
      <w:r>
        <w:rPr>
          <w:rStyle w:val="Teksttreci"/>
          <w:b w:val="0"/>
          <w:bCs w:val="0"/>
        </w:rPr>
        <w:t xml:space="preserve">(Imię i nazwisko przedstawiciela Wykonawcy </w:t>
      </w:r>
      <w:r>
        <w:rPr>
          <w:rStyle w:val="Teksttreci"/>
          <w:b w:val="0"/>
          <w:bCs w:val="0"/>
          <w:sz w:val="20"/>
          <w:szCs w:val="20"/>
        </w:rPr>
        <w:t>, data</w:t>
      </w:r>
      <w:r>
        <w:rPr>
          <w:rStyle w:val="Teksttreci"/>
          <w:b w:val="0"/>
          <w:bCs w:val="0"/>
          <w:sz w:val="20"/>
          <w:szCs w:val="20"/>
        </w:rPr>
        <w:t xml:space="preserve"> i podpis)</w:t>
      </w:r>
    </w:p>
    <w:p w:rsidR="008144EC" w:rsidRDefault="00A729F8">
      <w:pPr>
        <w:pStyle w:val="Teksttreci0"/>
        <w:rPr>
          <w:sz w:val="20"/>
          <w:szCs w:val="20"/>
        </w:rPr>
      </w:pPr>
      <w:r>
        <w:t xml:space="preserve">Uwaga! W przypadku odmowy złożenia podpisu przez Kontrolowanego należy umieścić zapis o </w:t>
      </w:r>
      <w:r>
        <w:rPr>
          <w:sz w:val="20"/>
          <w:szCs w:val="20"/>
        </w:rPr>
        <w:t>treści:</w:t>
      </w:r>
    </w:p>
    <w:p w:rsidR="008144EC" w:rsidRDefault="00A729F8">
      <w:pPr>
        <w:pStyle w:val="Teksttreci0"/>
        <w:tabs>
          <w:tab w:val="left" w:leader="dot" w:pos="4361"/>
        </w:tabs>
        <w:rPr>
          <w:sz w:val="20"/>
          <w:szCs w:val="20"/>
        </w:rPr>
      </w:pPr>
      <w:r>
        <w:rPr>
          <w:sz w:val="20"/>
          <w:szCs w:val="20"/>
        </w:rPr>
        <w:t>„Pan/Pani</w:t>
      </w:r>
      <w:r>
        <w:rPr>
          <w:sz w:val="20"/>
          <w:szCs w:val="20"/>
        </w:rPr>
        <w:tab/>
        <w:t>odmówił/a podpisania protokołu, miejsce, data podpis</w:t>
      </w:r>
    </w:p>
    <w:p w:rsidR="008144EC" w:rsidRDefault="00A729F8">
      <w:pPr>
        <w:pStyle w:val="Teksttreci0"/>
        <w:spacing w:after="260"/>
      </w:pPr>
      <w:r>
        <w:t>Kontrolującego”.</w:t>
      </w:r>
    </w:p>
    <w:p w:rsidR="008144EC" w:rsidRDefault="00A729F8">
      <w:pPr>
        <w:pStyle w:val="Nagwek10"/>
        <w:keepNext/>
        <w:keepLines/>
        <w:numPr>
          <w:ilvl w:val="0"/>
          <w:numId w:val="7"/>
        </w:numPr>
        <w:tabs>
          <w:tab w:val="left" w:pos="358"/>
        </w:tabs>
        <w:spacing w:after="260"/>
      </w:pPr>
      <w:bookmarkStart w:id="69" w:name="bookmark70"/>
      <w:bookmarkStart w:id="70" w:name="bookmark68"/>
      <w:bookmarkStart w:id="71" w:name="bookmark69"/>
      <w:bookmarkStart w:id="72" w:name="bookmark71"/>
      <w:bookmarkEnd w:id="69"/>
      <w:r>
        <w:t>Kontrolujący</w:t>
      </w:r>
      <w:bookmarkEnd w:id="70"/>
      <w:bookmarkEnd w:id="71"/>
      <w:bookmarkEnd w:id="72"/>
      <w:r>
        <w:t xml:space="preserve"> </w:t>
      </w:r>
      <w:r>
        <w:rPr>
          <w:rStyle w:val="Teksttreci"/>
          <w:b w:val="0"/>
          <w:bCs w:val="0"/>
        </w:rPr>
        <w:t>(Imię i nazwisko kontrolującego, sprawującego nadzór w z</w:t>
      </w:r>
      <w:r>
        <w:rPr>
          <w:rStyle w:val="Teksttreci"/>
          <w:b w:val="0"/>
          <w:bCs w:val="0"/>
        </w:rPr>
        <w:t>akresie bezpieczeństwa nad wykonawcami, stanowisko data i podpis)</w:t>
      </w:r>
    </w:p>
    <w:p w:rsidR="008144EC" w:rsidRDefault="00A729F8">
      <w:pPr>
        <w:pStyle w:val="Teksttreci0"/>
        <w:numPr>
          <w:ilvl w:val="0"/>
          <w:numId w:val="7"/>
        </w:numPr>
        <w:tabs>
          <w:tab w:val="left" w:pos="411"/>
        </w:tabs>
        <w:spacing w:after="260" w:line="218" w:lineRule="auto"/>
      </w:pPr>
      <w:bookmarkStart w:id="73" w:name="bookmark72"/>
      <w:bookmarkEnd w:id="73"/>
      <w:r>
        <w:rPr>
          <w:b/>
          <w:bCs/>
        </w:rPr>
        <w:t xml:space="preserve">Uwagi do protokołu </w:t>
      </w:r>
      <w:r>
        <w:t>(wniesiono * - nie wniesiono *)</w:t>
      </w:r>
    </w:p>
    <w:p w:rsidR="008144EC" w:rsidRDefault="00A729F8">
      <w:pPr>
        <w:pStyle w:val="Nagwek10"/>
        <w:keepNext/>
        <w:keepLines/>
        <w:numPr>
          <w:ilvl w:val="0"/>
          <w:numId w:val="7"/>
        </w:numPr>
        <w:tabs>
          <w:tab w:val="left" w:pos="459"/>
        </w:tabs>
        <w:spacing w:after="760" w:line="218" w:lineRule="auto"/>
      </w:pPr>
      <w:bookmarkStart w:id="74" w:name="bookmark75"/>
      <w:bookmarkStart w:id="75" w:name="bookmark73"/>
      <w:bookmarkStart w:id="76" w:name="bookmark74"/>
      <w:bookmarkStart w:id="77" w:name="bookmark76"/>
      <w:bookmarkEnd w:id="74"/>
      <w:r>
        <w:t>Ustosunkowanie się kontrolującego do uwag:</w:t>
      </w:r>
      <w:bookmarkEnd w:id="75"/>
      <w:bookmarkEnd w:id="76"/>
      <w:bookmarkEnd w:id="77"/>
    </w:p>
    <w:p w:rsidR="008144EC" w:rsidRDefault="00A729F8">
      <w:pPr>
        <w:pStyle w:val="Teksttreci0"/>
        <w:spacing w:after="260"/>
      </w:pPr>
      <w:r>
        <w:t>(Imię i nazwisko sporządzającego protokół, data i podpis)</w:t>
      </w:r>
    </w:p>
    <w:p w:rsidR="008144EC" w:rsidRDefault="00A729F8">
      <w:pPr>
        <w:pStyle w:val="Nagwek10"/>
        <w:keepNext/>
        <w:keepLines/>
        <w:numPr>
          <w:ilvl w:val="0"/>
          <w:numId w:val="7"/>
        </w:numPr>
        <w:tabs>
          <w:tab w:val="left" w:pos="512"/>
        </w:tabs>
        <w:spacing w:after="240"/>
      </w:pPr>
      <w:bookmarkStart w:id="78" w:name="bookmark79"/>
      <w:bookmarkStart w:id="79" w:name="bookmark77"/>
      <w:bookmarkStart w:id="80" w:name="bookmark78"/>
      <w:bookmarkStart w:id="81" w:name="bookmark80"/>
      <w:bookmarkEnd w:id="78"/>
      <w:r>
        <w:t>Zatwierdzenie protokołu</w:t>
      </w:r>
      <w:bookmarkEnd w:id="79"/>
      <w:bookmarkEnd w:id="80"/>
      <w:bookmarkEnd w:id="81"/>
    </w:p>
    <w:p w:rsidR="008144EC" w:rsidRDefault="00A729F8">
      <w:pPr>
        <w:pStyle w:val="Teksttreci0"/>
        <w:spacing w:after="240"/>
        <w:jc w:val="center"/>
      </w:pPr>
      <w:r>
        <w:t xml:space="preserve">(Dyrektor ds. </w:t>
      </w:r>
      <w:r>
        <w:t>Prewencji i BHP ANWIL S.A., data i podpis)</w:t>
      </w:r>
    </w:p>
    <w:p w:rsidR="008144EC" w:rsidRDefault="00A729F8">
      <w:pPr>
        <w:pStyle w:val="Teksttreci0"/>
        <w:spacing w:after="240"/>
      </w:pPr>
      <w:r>
        <w:t>Uwaga! W przypadku odmowy zatwierdzenia protokołu należy podać przyczyny i dalszy tryb postępowania.</w:t>
      </w:r>
    </w:p>
    <w:p w:rsidR="008144EC" w:rsidRDefault="00A729F8">
      <w:pPr>
        <w:pStyle w:val="Teksttreci0"/>
        <w:numPr>
          <w:ilvl w:val="0"/>
          <w:numId w:val="7"/>
        </w:numPr>
        <w:tabs>
          <w:tab w:val="left" w:pos="402"/>
        </w:tabs>
        <w:spacing w:after="740"/>
      </w:pPr>
      <w:bookmarkStart w:id="82" w:name="bookmark81"/>
      <w:bookmarkEnd w:id="82"/>
      <w:r>
        <w:rPr>
          <w:b/>
          <w:bCs/>
        </w:rPr>
        <w:t>Załączniki</w:t>
      </w:r>
    </w:p>
    <w:p w:rsidR="008144EC" w:rsidRDefault="00A729F8">
      <w:pPr>
        <w:pStyle w:val="Nagwek10"/>
        <w:keepNext/>
        <w:keepLines/>
        <w:spacing w:after="0"/>
      </w:pPr>
      <w:bookmarkStart w:id="83" w:name="bookmark82"/>
      <w:bookmarkStart w:id="84" w:name="bookmark83"/>
      <w:bookmarkStart w:id="85" w:name="bookmark84"/>
      <w:r>
        <w:t>Rozdzielnik:</w:t>
      </w:r>
      <w:bookmarkEnd w:id="83"/>
      <w:bookmarkEnd w:id="84"/>
      <w:bookmarkEnd w:id="85"/>
    </w:p>
    <w:p w:rsidR="008144EC" w:rsidRDefault="00A729F8">
      <w:pPr>
        <w:pStyle w:val="Teksttreci0"/>
        <w:numPr>
          <w:ilvl w:val="0"/>
          <w:numId w:val="9"/>
        </w:numPr>
        <w:tabs>
          <w:tab w:val="left" w:pos="749"/>
        </w:tabs>
        <w:ind w:firstLine="380"/>
      </w:pPr>
      <w:bookmarkStart w:id="86" w:name="bookmark85"/>
      <w:bookmarkEnd w:id="86"/>
      <w:r>
        <w:t>Wykonawca</w:t>
      </w:r>
    </w:p>
    <w:p w:rsidR="008144EC" w:rsidRDefault="00A729F8">
      <w:pPr>
        <w:pStyle w:val="Teksttreci0"/>
        <w:numPr>
          <w:ilvl w:val="0"/>
          <w:numId w:val="9"/>
        </w:numPr>
        <w:tabs>
          <w:tab w:val="left" w:pos="749"/>
        </w:tabs>
        <w:ind w:firstLine="380"/>
      </w:pPr>
      <w:bookmarkStart w:id="87" w:name="bookmark86"/>
      <w:bookmarkEnd w:id="87"/>
      <w:r>
        <w:t>Kontrolujący</w:t>
      </w:r>
    </w:p>
    <w:p w:rsidR="008144EC" w:rsidRDefault="00A729F8">
      <w:pPr>
        <w:pStyle w:val="Teksttreci0"/>
        <w:numPr>
          <w:ilvl w:val="0"/>
          <w:numId w:val="9"/>
        </w:numPr>
        <w:tabs>
          <w:tab w:val="left" w:pos="749"/>
        </w:tabs>
        <w:ind w:firstLine="380"/>
      </w:pPr>
      <w:bookmarkStart w:id="88" w:name="bookmark87"/>
      <w:bookmarkEnd w:id="88"/>
      <w:r>
        <w:t>Obszar Prewencji i BHP ANWIL S.A.</w:t>
      </w:r>
    </w:p>
    <w:p w:rsidR="008144EC" w:rsidRDefault="00A729F8">
      <w:pPr>
        <w:pStyle w:val="Teksttreci0"/>
        <w:numPr>
          <w:ilvl w:val="0"/>
          <w:numId w:val="9"/>
        </w:numPr>
        <w:tabs>
          <w:tab w:val="left" w:pos="749"/>
        </w:tabs>
        <w:ind w:firstLine="380"/>
      </w:pPr>
      <w:bookmarkStart w:id="89" w:name="bookmark88"/>
      <w:bookmarkEnd w:id="89"/>
      <w:r>
        <w:t>Komórka organizacyjna ANWIL S.A</w:t>
      </w:r>
      <w:r>
        <w:t>. wystawiająca notę księgową (obciążeniową)</w:t>
      </w:r>
    </w:p>
    <w:p w:rsidR="008144EC" w:rsidRDefault="00A729F8">
      <w:pPr>
        <w:pStyle w:val="Teksttreci0"/>
        <w:numPr>
          <w:ilvl w:val="0"/>
          <w:numId w:val="9"/>
        </w:numPr>
        <w:tabs>
          <w:tab w:val="left" w:pos="749"/>
        </w:tabs>
        <w:spacing w:after="240"/>
        <w:ind w:firstLine="380"/>
      </w:pPr>
      <w:bookmarkStart w:id="90" w:name="bookmark89"/>
      <w:bookmarkEnd w:id="90"/>
      <w:r>
        <w:t>Partner biznesowy w ANWIL S.A.</w:t>
      </w:r>
    </w:p>
    <w:sectPr w:rsidR="008144EC">
      <w:headerReference w:type="default" r:id="rId7"/>
      <w:pgSz w:w="11900" w:h="16840"/>
      <w:pgMar w:top="1412" w:right="1259" w:bottom="1518" w:left="1258" w:header="0" w:footer="109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9F8" w:rsidRDefault="00A729F8">
      <w:r>
        <w:separator/>
      </w:r>
    </w:p>
  </w:endnote>
  <w:endnote w:type="continuationSeparator" w:id="0">
    <w:p w:rsidR="00A729F8" w:rsidRDefault="00A72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9F8" w:rsidRDefault="00A729F8"/>
  </w:footnote>
  <w:footnote w:type="continuationSeparator" w:id="0">
    <w:p w:rsidR="00A729F8" w:rsidRDefault="00A72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4EC" w:rsidRDefault="00A729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5890260</wp:posOffset>
              </wp:positionH>
              <wp:positionV relativeFrom="page">
                <wp:posOffset>473075</wp:posOffset>
              </wp:positionV>
              <wp:extent cx="765175" cy="11874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144EC" w:rsidRDefault="00A729F8">
                          <w:pPr>
                            <w:pStyle w:val="Nagweklubstopka2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 xml:space="preserve">Załącznik nr </w:t>
                          </w:r>
                          <w:r w:rsidR="00CF72E3"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t>……..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463.8pt;margin-top:37.25pt;width:60.25pt;height:9.3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" filled="f" stroked="f">
              <v:textbox style="mso-fit-shape-to-text:t" inset="0,0,0,0">
                <w:txbxContent>
                  <w:p w:rsidR="008144EC" w:rsidRDefault="00A729F8">
                    <w:pPr>
                      <w:pStyle w:val="Nagweklubstopka20"/>
                      <w:rPr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 xml:space="preserve">Załącznik nr </w:t>
                    </w:r>
                    <w:r w:rsidR="00CF72E3"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t>……..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23B3"/>
    <w:multiLevelType w:val="multilevel"/>
    <w:tmpl w:val="9072D762"/>
    <w:lvl w:ilvl="0">
      <w:start w:val="1"/>
      <w:numFmt w:val="upperRoman"/>
      <w:lvlText w:val="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B66BC3"/>
    <w:multiLevelType w:val="multilevel"/>
    <w:tmpl w:val="A9906ECE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2B2285"/>
    <w:multiLevelType w:val="multilevel"/>
    <w:tmpl w:val="F6E8C8CA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0276B0"/>
    <w:multiLevelType w:val="multilevel"/>
    <w:tmpl w:val="449A5DCE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347FA5"/>
    <w:multiLevelType w:val="multilevel"/>
    <w:tmpl w:val="421824B0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491C6F"/>
    <w:multiLevelType w:val="multilevel"/>
    <w:tmpl w:val="EAB60A78"/>
    <w:lvl w:ilvl="0">
      <w:start w:val="1"/>
      <w:numFmt w:val="upperRoman"/>
      <w:lvlText w:val="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7C43C4"/>
    <w:multiLevelType w:val="multilevel"/>
    <w:tmpl w:val="0F625E00"/>
    <w:lvl w:ilvl="0">
      <w:start w:val="1"/>
      <w:numFmt w:val="lowerLetter"/>
      <w:lvlText w:val="%1)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68344DC"/>
    <w:multiLevelType w:val="multilevel"/>
    <w:tmpl w:val="DD76726A"/>
    <w:lvl w:ilvl="0">
      <w:start w:val="1"/>
      <w:numFmt w:val="decimal"/>
      <w:lvlText w:val="%1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B97AC1"/>
    <w:multiLevelType w:val="multilevel"/>
    <w:tmpl w:val="1B10754A"/>
    <w:lvl w:ilvl="0">
      <w:start w:val="1"/>
      <w:numFmt w:val="decimal"/>
      <w:lvlText w:val="%1.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EC"/>
    <w:rsid w:val="008144EC"/>
    <w:rsid w:val="00A729F8"/>
    <w:rsid w:val="00CF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7911B2"/>
  <w15:docId w15:val="{0C7FEFBC-59A4-46D4-BF21-414BDA87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Inne">
    <w:name w:val="Inne_"/>
    <w:basedOn w:val="Domylnaczcionkaakapitu"/>
    <w:link w:val="Inne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after="280"/>
      <w:outlineLvl w:val="0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Pr>
      <w:rFonts w:ascii="Arial Narrow" w:eastAsia="Arial Narrow" w:hAnsi="Arial Narrow" w:cs="Arial Narrow"/>
      <w:sz w:val="22"/>
      <w:szCs w:val="22"/>
    </w:rPr>
  </w:style>
  <w:style w:type="paragraph" w:customStyle="1" w:styleId="Inne0">
    <w:name w:val="Inne"/>
    <w:basedOn w:val="Normalny"/>
    <w:link w:val="Inne"/>
    <w:rPr>
      <w:rFonts w:ascii="Arial Narrow" w:eastAsia="Arial Narrow" w:hAnsi="Arial Narrow" w:cs="Arial Narrow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CF7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72E3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7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72E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1864</Words>
  <Characters>11186</Characters>
  <Application>Microsoft Office Word</Application>
  <DocSecurity>0</DocSecurity>
  <Lines>93</Lines>
  <Paragraphs>26</Paragraphs>
  <ScaleCrop>false</ScaleCrop>
  <Company>PKN ORLEN S.A.</Company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 Aleksandra (ANW) (ZD)</dc:creator>
  <cp:keywords/>
  <cp:lastModifiedBy>Szanowska Iwona (ANW)</cp:lastModifiedBy>
  <cp:revision>2</cp:revision>
  <dcterms:created xsi:type="dcterms:W3CDTF">2021-12-17T10:09:00Z</dcterms:created>
  <dcterms:modified xsi:type="dcterms:W3CDTF">2021-12-17T10:12:00Z</dcterms:modified>
</cp:coreProperties>
</file>